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6B562C25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25402E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F73712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6EAC514C" w14:textId="33D850C2" w:rsidR="0002673C" w:rsidRDefault="00D91678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</w:t>
      </w:r>
      <w:r w:rsidR="00B806B1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B806B1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3B7B8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</w:p>
    <w:p w14:paraId="1A1DF7FD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związku z faktem, iż wartość zamówienia jest niższa od kwoty, o której mowa w art. 2 ust. 1 pkt. 1 ustawy z dnia 11.09.2019 r. Prawo zamówień publicznych (t.j.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 xml:space="preserve">), zamówienie udzielane jest na zasadach określonych w art. 44 ustawy z dnia 27.08.2009 r o finansach publicznych (t.j.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>z późn.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1E2BBC50" w14:textId="4717A079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z w:val="22"/>
          <w:szCs w:val="22"/>
        </w:rPr>
        <w:t xml:space="preserve">roboty polegające na sporządzeniu 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oceny stanu technicznego budynku mieszkalnego wielorodzinnego przy </w:t>
      </w:r>
      <w:r w:rsidR="00193231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ul. </w:t>
      </w:r>
      <w:r w:rsidR="00196046">
        <w:rPr>
          <w:rFonts w:ascii="Cambria" w:hAnsi="Cambria"/>
          <w:snapToGrid w:val="0"/>
          <w:color w:val="000000" w:themeColor="text1"/>
          <w:sz w:val="22"/>
          <w:szCs w:val="22"/>
        </w:rPr>
        <w:t>Młyńskiej 4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 </w:t>
      </w:r>
      <w:r w:rsidR="00196046">
        <w:rPr>
          <w:rFonts w:ascii="Cambria" w:hAnsi="Cambria"/>
          <w:snapToGrid w:val="0"/>
          <w:color w:val="000000" w:themeColor="text1"/>
          <w:sz w:val="22"/>
          <w:szCs w:val="22"/>
        </w:rPr>
        <w:t>Chełmsku Śląskim</w:t>
      </w:r>
      <w:r>
        <w:rPr>
          <w:rFonts w:asciiTheme="majorHAnsi" w:hAnsiTheme="majorHAnsi"/>
          <w:color w:val="000000"/>
          <w:sz w:val="22"/>
          <w:szCs w:val="22"/>
        </w:rPr>
        <w:t>, w szczególności:</w:t>
      </w:r>
    </w:p>
    <w:p w14:paraId="0EE409A7" w14:textId="5B916755" w:rsidR="0002673C" w:rsidRDefault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rFonts w:asciiTheme="majorHAnsi" w:hAnsiTheme="majorHAnsi"/>
          <w:color w:val="000000" w:themeColor="text1"/>
          <w:sz w:val="22"/>
          <w:szCs w:val="22"/>
        </w:rPr>
        <w:t>oceny stanu technicznego wszystkich elementów konstrukcji i instalacji w budynku, wraz z określeniem % stopnia zużycia poszczególnych elementów</w:t>
      </w:r>
      <w:r w:rsidR="00B806B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5D53152C" w14:textId="0DB1BB46" w:rsidR="0002673C" w:rsidRPr="00D91678" w:rsidRDefault="00D91678" w:rsidP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color w:val="000000"/>
          <w:sz w:val="22"/>
          <w:szCs w:val="22"/>
        </w:rPr>
        <w:t>analizy opłacalności remontu</w:t>
      </w:r>
      <w:r w:rsidR="0090521F" w:rsidRPr="0090521F">
        <w:t xml:space="preserve"> </w:t>
      </w:r>
      <w:r w:rsidR="0090521F" w:rsidRPr="0090521F">
        <w:rPr>
          <w:color w:val="000000"/>
          <w:sz w:val="22"/>
          <w:szCs w:val="22"/>
        </w:rPr>
        <w:t>wraz z określeniem szacunkowego kosztu remontu budynku</w:t>
      </w:r>
      <w:r w:rsidR="00277F53">
        <w:rPr>
          <w:color w:val="000000"/>
          <w:sz w:val="22"/>
          <w:szCs w:val="22"/>
        </w:rPr>
        <w:t xml:space="preserve"> i lokali</w:t>
      </w:r>
      <w:r>
        <w:rPr>
          <w:color w:val="000000"/>
          <w:sz w:val="22"/>
          <w:szCs w:val="22"/>
        </w:rPr>
        <w:t>,</w:t>
      </w:r>
    </w:p>
    <w:p w14:paraId="2C282CC1" w14:textId="5ACADA93" w:rsidR="0002673C" w:rsidRDefault="00D91678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w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91678">
        <w:rPr>
          <w:rFonts w:asciiTheme="majorHAnsi" w:hAnsiTheme="majorHAnsi"/>
          <w:color w:val="000000" w:themeColor="text1"/>
          <w:sz w:val="22"/>
          <w:szCs w:val="22"/>
        </w:rPr>
        <w:t xml:space="preserve"> egz. (wersja papierowa) oraz 1 egz. (na nośniku elektronicznym),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B806B1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50115B41" w14:textId="77777777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1755CD23" w14:textId="68C2BCE9" w:rsidR="00275083" w:rsidRPr="007C7340" w:rsidRDefault="00275083" w:rsidP="00275083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 xml:space="preserve">Wykonawca zobowiązuje się wykonać przedmiot umowy w terminie </w:t>
      </w:r>
      <w:r w:rsidR="00052FC3">
        <w:rPr>
          <w:rFonts w:asciiTheme="majorHAnsi" w:hAnsiTheme="majorHAnsi"/>
          <w:color w:val="000000"/>
          <w:sz w:val="22"/>
          <w:szCs w:val="22"/>
        </w:rPr>
        <w:t>9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6AD5807B" w14:textId="77777777" w:rsidR="0002673C" w:rsidRDefault="00B806B1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lastRenderedPageBreak/>
        <w:t xml:space="preserve">Sprzedawca: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35DFE382" w14:textId="77777777" w:rsidR="00707548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Nabywca: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Gmina Lubawka – Zakład Gospodarki Miejskiej</w:t>
      </w:r>
    </w:p>
    <w:p w14:paraId="541294B3" w14:textId="77777777" w:rsidR="00707548" w:rsidRDefault="0070754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ul. Zielona 12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58-420 Lubawka</w:t>
      </w:r>
    </w:p>
    <w:p w14:paraId="41503CFD" w14:textId="24B1CD02" w:rsidR="00D91678" w:rsidRDefault="00D9167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 xml:space="preserve">NIP: 6141001909 </w:t>
      </w:r>
    </w:p>
    <w:p w14:paraId="7134B946" w14:textId="3D6AB28A" w:rsidR="0002673C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do korespondencji (odbiorca): </w:t>
      </w:r>
      <w:r>
        <w:rPr>
          <w:rFonts w:asciiTheme="majorHAnsi" w:hAnsiTheme="majorHAnsi"/>
          <w:sz w:val="22"/>
          <w:szCs w:val="22"/>
        </w:rPr>
        <w:tab/>
        <w:t xml:space="preserve">Zakład Gospodarki Miejskiej w Lubawce, </w:t>
      </w:r>
    </w:p>
    <w:p w14:paraId="0EB4B196" w14:textId="77777777" w:rsidR="0002673C" w:rsidRDefault="00B806B1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>Strony zgodnie oświadczają, że od dnia wejścia w życie obowiązkowego KSeF wszelkie faktury będą wystawiane i przesyłane wyłącznie w formie ustrukturyzowanej (FA(3)) do Krajowego Systemu e-Faktur (KSeF).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Faktura ustrukturyzowana (e-faktura) – faktura ustrukturyzowana w formacie FA(3) przesłana do KSeF i opatrzona unikalnym numerem identyfikacyjnym KSeF (KSeF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KSeF i konieczności wystawienia faktury w trybie offline, Wystawca zobowiązuje się do przesłania jej do KSeF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Termin płatności wynagrodzenia rozpoczyna bieg od dnia prawidłowego wystawienia i doręczenia e-faktury w KSeF.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>eśli zgodnie z powszechnie obowiązującymi przepisami objęcie Wykonawcy obowiązkiem korzystania z KSeF nastąpi później niż 1 lutego 2026 r – fakultatywnie do czasu objęcia tym obowiązkiem Wykonawca może przekazywać papierowe faktury.</w:t>
      </w:r>
    </w:p>
    <w:p w14:paraId="450D8469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6F772158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split payment.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68D719C4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5</w:t>
      </w:r>
    </w:p>
    <w:p w14:paraId="01377513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4793036A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6DF6C51C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2EF4B30B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08FB2B1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6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7D1B23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7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9DAE20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8</w:t>
      </w:r>
    </w:p>
    <w:p w14:paraId="7FD299D2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6A9E7364" w14:textId="2FC79356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6B12F1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3AC9BD31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6B12F1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0B4E6B3A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color w:val="000000"/>
          <w:sz w:val="22"/>
          <w:szCs w:val="22"/>
        </w:rPr>
        <w:t>9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B4FE381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0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2752CCA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1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69AD773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2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702A2F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3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26EEF94E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Default="00B806B1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1"/>
  </w:num>
  <w:num w:numId="3" w16cid:durableId="56634530">
    <w:abstractNumId w:val="4"/>
  </w:num>
  <w:num w:numId="4" w16cid:durableId="1586378007">
    <w:abstractNumId w:val="12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8"/>
  </w:num>
  <w:num w:numId="8" w16cid:durableId="922295523">
    <w:abstractNumId w:val="6"/>
  </w:num>
  <w:num w:numId="9" w16cid:durableId="1676766156">
    <w:abstractNumId w:val="9"/>
  </w:num>
  <w:num w:numId="10" w16cid:durableId="1622418638">
    <w:abstractNumId w:val="3"/>
  </w:num>
  <w:num w:numId="11" w16cid:durableId="826362828">
    <w:abstractNumId w:val="10"/>
  </w:num>
  <w:num w:numId="12" w16cid:durableId="270162737">
    <w:abstractNumId w:val="7"/>
  </w:num>
  <w:num w:numId="13" w16cid:durableId="787046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7EAF"/>
    <w:rsid w:val="00025D9F"/>
    <w:rsid w:val="0002673C"/>
    <w:rsid w:val="00031AE3"/>
    <w:rsid w:val="00034BB8"/>
    <w:rsid w:val="000462DA"/>
    <w:rsid w:val="00052FC3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93231"/>
    <w:rsid w:val="00196046"/>
    <w:rsid w:val="001979A5"/>
    <w:rsid w:val="001A0CD0"/>
    <w:rsid w:val="001A6752"/>
    <w:rsid w:val="001A7F00"/>
    <w:rsid w:val="001B09B8"/>
    <w:rsid w:val="001B7035"/>
    <w:rsid w:val="001C541C"/>
    <w:rsid w:val="001C78D8"/>
    <w:rsid w:val="001C7C37"/>
    <w:rsid w:val="001E1304"/>
    <w:rsid w:val="001E1D32"/>
    <w:rsid w:val="001E4A7B"/>
    <w:rsid w:val="00200272"/>
    <w:rsid w:val="002045FB"/>
    <w:rsid w:val="002053FA"/>
    <w:rsid w:val="0020629B"/>
    <w:rsid w:val="00211F65"/>
    <w:rsid w:val="0021344F"/>
    <w:rsid w:val="0023025A"/>
    <w:rsid w:val="0023129B"/>
    <w:rsid w:val="002376A5"/>
    <w:rsid w:val="00243F57"/>
    <w:rsid w:val="0024664D"/>
    <w:rsid w:val="00252164"/>
    <w:rsid w:val="0025402E"/>
    <w:rsid w:val="00255C13"/>
    <w:rsid w:val="00260E35"/>
    <w:rsid w:val="00261D22"/>
    <w:rsid w:val="00265D2B"/>
    <w:rsid w:val="0026685F"/>
    <w:rsid w:val="0026734D"/>
    <w:rsid w:val="00270587"/>
    <w:rsid w:val="00273B38"/>
    <w:rsid w:val="00275083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12BE"/>
    <w:rsid w:val="002C38D2"/>
    <w:rsid w:val="002C3ECC"/>
    <w:rsid w:val="002E0F28"/>
    <w:rsid w:val="002E43FB"/>
    <w:rsid w:val="002E565E"/>
    <w:rsid w:val="002F0ED0"/>
    <w:rsid w:val="00300DBC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5712"/>
    <w:rsid w:val="003E5A37"/>
    <w:rsid w:val="003E7103"/>
    <w:rsid w:val="003F3FD6"/>
    <w:rsid w:val="004065E6"/>
    <w:rsid w:val="00406FDA"/>
    <w:rsid w:val="0042571F"/>
    <w:rsid w:val="004302D0"/>
    <w:rsid w:val="00435F6F"/>
    <w:rsid w:val="0044606B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3A2D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4496"/>
    <w:rsid w:val="00667D18"/>
    <w:rsid w:val="006720C6"/>
    <w:rsid w:val="00676B49"/>
    <w:rsid w:val="00685F90"/>
    <w:rsid w:val="00691AD1"/>
    <w:rsid w:val="00696625"/>
    <w:rsid w:val="00697CE7"/>
    <w:rsid w:val="006A1044"/>
    <w:rsid w:val="006B04C2"/>
    <w:rsid w:val="006B12F1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0A4F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6D72"/>
    <w:rsid w:val="009D658F"/>
    <w:rsid w:val="009E0E04"/>
    <w:rsid w:val="009E38F6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4FA7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7C30"/>
    <w:rsid w:val="00B22193"/>
    <w:rsid w:val="00B279C6"/>
    <w:rsid w:val="00B32D03"/>
    <w:rsid w:val="00B42EC9"/>
    <w:rsid w:val="00B44B43"/>
    <w:rsid w:val="00B5042C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547B"/>
    <w:rsid w:val="00BA680F"/>
    <w:rsid w:val="00BB2310"/>
    <w:rsid w:val="00BB338C"/>
    <w:rsid w:val="00BB6FAC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687F"/>
    <w:rsid w:val="00C67702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5C05"/>
    <w:rsid w:val="00D50627"/>
    <w:rsid w:val="00D54190"/>
    <w:rsid w:val="00D557A8"/>
    <w:rsid w:val="00D62572"/>
    <w:rsid w:val="00D64086"/>
    <w:rsid w:val="00D65236"/>
    <w:rsid w:val="00D7109D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37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1123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198</cp:revision>
  <cp:lastPrinted>2019-02-14T08:39:00Z</cp:lastPrinted>
  <dcterms:created xsi:type="dcterms:W3CDTF">2019-02-11T19:01:00Z</dcterms:created>
  <dcterms:modified xsi:type="dcterms:W3CDTF">2026-01-22T08:49:00Z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